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before="100" w:beforeAutospacing="1" w:after="100" w:afterAutospacing="1"/>
        <w:jc w:val="center"/>
        <w:rPr>
          <w:rFonts w:ascii="黑体" w:hAnsi="黑体" w:eastAsia="黑体" w:cs="宋体"/>
          <w:b/>
          <w:bCs/>
          <w:kern w:val="36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kern w:val="36"/>
          <w:sz w:val="36"/>
          <w:szCs w:val="36"/>
        </w:rPr>
        <w:t>四川石油天然气发展研究中心201</w:t>
      </w:r>
      <w:r>
        <w:rPr>
          <w:rFonts w:hint="eastAsia" w:ascii="黑体" w:hAnsi="黑体" w:eastAsia="黑体" w:cs="宋体"/>
          <w:b/>
          <w:bCs/>
          <w:kern w:val="36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 w:cs="宋体"/>
          <w:b/>
          <w:bCs/>
          <w:kern w:val="36"/>
          <w:sz w:val="36"/>
          <w:szCs w:val="36"/>
        </w:rPr>
        <w:t>年度科研项目</w:t>
      </w:r>
    </w:p>
    <w:p>
      <w:pPr>
        <w:widowControl/>
        <w:spacing w:before="100" w:beforeAutospacing="1" w:after="100" w:afterAutospacing="1"/>
        <w:jc w:val="center"/>
        <w:rPr>
          <w:rFonts w:ascii="黑体" w:hAnsi="黑体" w:eastAsia="黑体" w:cs="宋体"/>
          <w:b/>
          <w:bCs/>
          <w:kern w:val="36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kern w:val="36"/>
          <w:sz w:val="36"/>
          <w:szCs w:val="36"/>
        </w:rPr>
        <w:t>课题指南</w:t>
      </w:r>
      <w:bookmarkStart w:id="0" w:name="_GoBack"/>
      <w:bookmarkEnd w:id="0"/>
    </w:p>
    <w:p>
      <w:pPr>
        <w:pStyle w:val="6"/>
        <w:numPr>
          <w:ilvl w:val="0"/>
          <w:numId w:val="1"/>
        </w:numPr>
        <w:spacing w:line="30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石油天然气企业管理与决策优化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1、石油工程装备制造产业相关技术标准化及对策研究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2、石油装备市场技术服务外包政策研究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3、石油企业物资管理信息系统研究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4、混合所有制下石油企业管理模式研究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5、独立管道运营企业运作模式研究</w:t>
      </w:r>
    </w:p>
    <w:p>
      <w:pPr>
        <w:spacing w:line="30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二、石油天然气安全与风险管理</w:t>
      </w:r>
    </w:p>
    <w:p>
      <w:pPr>
        <w:spacing w:line="300" w:lineRule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、城市燃气管网重大风险隐患应对机制研究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2、天然气管道建设工程风险控制研究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3、CNG站安全评价与风险控制研究</w:t>
      </w:r>
    </w:p>
    <w:p>
      <w:pPr>
        <w:spacing w:line="30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三、石油天然气法规与政策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1、四川石油天然气开发环境法律风险防控研究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2、我国油气企业依法治企基本问题研究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3、城市燃气经营中的政府监管机制及效率研究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4、混合所有制背景下石油企业用工制度合规性研究</w:t>
      </w:r>
    </w:p>
    <w:p>
      <w:pPr>
        <w:spacing w:line="30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5、民用天然气价格形成机制及政府科学定价研究</w:t>
      </w:r>
    </w:p>
    <w:p>
      <w:pPr>
        <w:spacing w:line="30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6、城市燃气市场特许经营相关政策研究</w:t>
      </w:r>
    </w:p>
    <w:p>
      <w:pPr>
        <w:spacing w:line="30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四、石油天然气经济与区域可持续发展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1、环境信用制度视野下油气企业的环境治理责任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2、国际油价波动对四川页岩气发展的影响分析及对策研究</w:t>
      </w:r>
    </w:p>
    <w:p>
      <w:pPr>
        <w:spacing w:line="300" w:lineRule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3、新能源开发过程中逆替代问题对社会经济发展影响研究</w:t>
      </w:r>
    </w:p>
    <w:p>
      <w:pPr>
        <w:spacing w:line="300" w:lineRule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4、四川页岩气开采对人居环境的影响及策略研究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5、四川页岩气对外合作发展战略与策略研究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6、生态红线保护制度对四川天然气产业发展的影响及其对策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7、四川LNG市场前景与推进策略研究</w:t>
      </w:r>
    </w:p>
    <w:p>
      <w:pPr>
        <w:spacing w:line="30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五、石油天然气国际经济与贸易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1、我国国际石油合作中的法律或政策研究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2、国际油价中期走势及我国的对策研究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3、乌克兰危机与俄美博弈对国际石油格局的影响及我国的对策研究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4、国际能源新格局与中国的“能源革命”研究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5、中东在世界油气格局中的作用及中国的中东策略研究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6、能源合作在“一路一带”建设中的作用研究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7、美欧页岩气发展战略及政府规制研究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8、国际石油天然气贸易新特点及我国的对策研究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</w:p>
    <w:p>
      <w:pPr>
        <w:spacing w:line="300" w:lineRule="auto"/>
        <w:rPr>
          <w:rFonts w:ascii="仿宋" w:hAnsi="仿宋" w:eastAsia="仿宋"/>
          <w:sz w:val="28"/>
          <w:szCs w:val="28"/>
        </w:rPr>
      </w:pPr>
    </w:p>
    <w:p>
      <w:pPr>
        <w:spacing w:line="300" w:lineRule="auto"/>
        <w:rPr>
          <w:rFonts w:ascii="仿宋" w:hAnsi="仿宋" w:eastAsia="仿宋"/>
          <w:sz w:val="28"/>
          <w:szCs w:val="28"/>
        </w:rPr>
      </w:pPr>
    </w:p>
    <w:p>
      <w:pPr>
        <w:spacing w:line="300" w:lineRule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spacing w:line="300" w:lineRule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spacing w:line="300" w:lineRule="auto"/>
        <w:rPr>
          <w:rFonts w:ascii="宋体" w:hAnsi="宋体" w:eastAsia="宋体" w:cs="宋体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07971595">
    <w:nsid w:val="77AF370B"/>
    <w:multiLevelType w:val="multilevel"/>
    <w:tmpl w:val="77AF370B"/>
    <w:lvl w:ilvl="0" w:tentative="1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0797159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D7DFC"/>
    <w:rsid w:val="00004CD2"/>
    <w:rsid w:val="00011453"/>
    <w:rsid w:val="0009550E"/>
    <w:rsid w:val="000C5DB2"/>
    <w:rsid w:val="000D7DFC"/>
    <w:rsid w:val="00101AB6"/>
    <w:rsid w:val="001407C1"/>
    <w:rsid w:val="001D7C5D"/>
    <w:rsid w:val="0021352A"/>
    <w:rsid w:val="00291777"/>
    <w:rsid w:val="002D07E3"/>
    <w:rsid w:val="002D2716"/>
    <w:rsid w:val="0031571E"/>
    <w:rsid w:val="005132B4"/>
    <w:rsid w:val="005643CA"/>
    <w:rsid w:val="005B40A3"/>
    <w:rsid w:val="005C72C7"/>
    <w:rsid w:val="00610FC2"/>
    <w:rsid w:val="00714B78"/>
    <w:rsid w:val="00727B13"/>
    <w:rsid w:val="007E3C98"/>
    <w:rsid w:val="008C512D"/>
    <w:rsid w:val="00957614"/>
    <w:rsid w:val="00957F12"/>
    <w:rsid w:val="009D4ABB"/>
    <w:rsid w:val="00AD0F32"/>
    <w:rsid w:val="00B23FFC"/>
    <w:rsid w:val="00B80E75"/>
    <w:rsid w:val="00C169A9"/>
    <w:rsid w:val="00CA7562"/>
    <w:rsid w:val="00D70453"/>
    <w:rsid w:val="00D73597"/>
    <w:rsid w:val="00E16B16"/>
    <w:rsid w:val="00E45308"/>
    <w:rsid w:val="00F03B5C"/>
    <w:rsid w:val="1A6C717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Char"/>
    <w:basedOn w:val="1"/>
    <w:uiPriority w:val="0"/>
    <w:rPr>
      <w:rFonts w:ascii="Calibri" w:hAnsi="Calibri" w:eastAsia="宋体" w:cs="Times New Roman"/>
      <w:szCs w:val="21"/>
    </w:rPr>
  </w:style>
  <w:style w:type="character" w:customStyle="1" w:styleId="8">
    <w:name w:val="页眉 Char"/>
    <w:basedOn w:val="4"/>
    <w:link w:val="3"/>
    <w:uiPriority w:val="99"/>
    <w:rPr>
      <w:sz w:val="18"/>
      <w:szCs w:val="18"/>
    </w:rPr>
  </w:style>
  <w:style w:type="character" w:customStyle="1" w:styleId="9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